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rFonts w:ascii="微软雅黑" w:hAnsi="微软雅黑" w:eastAsia="微软雅黑"/>
          <w:b/>
          <w:color w:val="1F4E79"/>
          <w:sz w:val="36"/>
        </w:rPr>
        <w:t>工BA嘉年华 · 设计组 工作手册</w:t>
      </w:r>
    </w:p>
    <w:p>
      <w:pPr>
        <w:spacing w:before="0" w:after="120"/>
        <w:jc w:val="center"/>
      </w:pPr>
      <w:r>
        <w:rPr>
          <w:rFonts w:ascii="微软雅黑" w:hAnsi="微软雅黑" w:eastAsia="微软雅黑"/>
          <w:b/>
          <w:sz w:val="26"/>
        </w:rPr>
        <w:t>（视觉系统 · 全套物料设计）</w:t>
      </w:r>
    </w:p>
    <w:p>
      <w:pPr>
        <w:jc w:val="center"/>
      </w:pPr>
      <w:r>
        <w:rPr>
          <w:rFonts w:ascii="宋体" w:hAnsi="宋体" w:eastAsia="宋体"/>
          <w:b/>
          <w:color w:val="C05500"/>
          <w:sz w:val="20"/>
        </w:rPr>
        <w:t>本组职责：把创意变成可落地的视觉——主KV到门头、氛围、摊位、文创、打卡、体育馆，全部出可执行设计。</w:t>
      </w:r>
    </w:p>
    <w:p>
      <w:pPr>
        <w:spacing w:before="0" w:after="40"/>
      </w:pPr>
    </w:p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一、设计范围与输出标准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重点：</w:t>
      </w:r>
      <w:r>
        <w:rPr>
          <w:rFonts w:ascii="宋体" w:hAnsi="宋体" w:eastAsia="宋体"/>
          <w:b w:val="0"/>
          <w:sz w:val="21"/>
        </w:rPr>
        <w:t>孙文西步行街整体设计（主KV/氛围/2门头/摊位/文创/打卡）。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协助：</w:t>
      </w:r>
      <w:r>
        <w:rPr>
          <w:rFonts w:ascii="宋体" w:hAnsi="宋体" w:eastAsia="宋体"/>
          <w:b w:val="0"/>
          <w:sz w:val="21"/>
        </w:rPr>
        <w:t>体育馆氛围 + 打卡点设计稿。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输出：</w:t>
      </w:r>
      <w:r>
        <w:rPr>
          <w:rFonts w:ascii="宋体" w:hAnsi="宋体" w:eastAsia="宋体"/>
          <w:b w:val="0"/>
          <w:sz w:val="21"/>
        </w:rPr>
        <w:t>AI/PSD · CMYK · 300dpi · 含出血 + 效果图 + 物料清单 + 施工尺寸图。</w:t>
      </w:r>
    </w:p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二、视觉基调（设计系统）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1701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维度</w:t>
            </w:r>
          </w:p>
        </w:tc>
        <w:tc>
          <w:tcPr>
            <w:tcW w:type="dxa" w:w="7937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要求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主色 / 辅助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工BA蓝（以官方VI为准）＋ 活力橙 ＋ 骑楼暖黄/砖红 ＋ 冠军金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核心图形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篮球/球网/半场线/扣篮 ＋ 骑楼拱券 ＋ 飞龙/醒狮 ＋ 中山地标线稿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字体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标题力量书法/粗黑；正文思源黑体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IP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建议设计嘉年华吉祥物，统一贯穿文创/打卡/氛围/直播</w:t>
            </w:r>
          </w:p>
        </w:tc>
      </w:tr>
    </w:tbl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三、各模块设计要点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1417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模块</w:t>
            </w:r>
          </w:p>
        </w:tc>
        <w:tc>
          <w:tcPr>
            <w:tcW w:type="dxa" w:w="6520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设计要点</w:t>
            </w:r>
          </w:p>
        </w:tc>
        <w:tc>
          <w:tcPr>
            <w:tcW w:type="dxa" w:w="1701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状态</w:t>
            </w:r>
          </w:p>
        </w:tc>
      </w:tr>
      <w:tr>
        <w:tc>
          <w:tcPr>
            <w:tcW w:type="dxa" w:w="1417"/>
          </w:tcPr>
          <w:p>
            <w:r>
              <w:rPr>
                <w:rFonts w:ascii="宋体" w:hAnsi="宋体" w:eastAsia="宋体"/>
                <w:b w:val="0"/>
                <w:sz w:val="19"/>
              </w:rPr>
              <w:t>主KV</w:t>
            </w:r>
          </w:p>
        </w:tc>
        <w:tc>
          <w:tcPr>
            <w:tcW w:type="dxa" w:w="6520"/>
          </w:tcPr>
          <w:p>
            <w:r>
              <w:rPr>
                <w:rFonts w:ascii="宋体" w:hAnsi="宋体" w:eastAsia="宋体"/>
                <w:b w:val="0"/>
                <w:sz w:val="19"/>
              </w:rPr>
              <w:t>1套+横竖方延展+留白版；全场母版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待开稿</w:t>
            </w:r>
          </w:p>
        </w:tc>
      </w:tr>
      <w:tr>
        <w:tc>
          <w:tcPr>
            <w:tcW w:type="dxa" w:w="1417"/>
          </w:tcPr>
          <w:p>
            <w:r>
              <w:rPr>
                <w:rFonts w:ascii="宋体" w:hAnsi="宋体" w:eastAsia="宋体"/>
                <w:b w:val="0"/>
                <w:sz w:val="19"/>
              </w:rPr>
              <w:t>吉祥物</w:t>
            </w:r>
          </w:p>
        </w:tc>
        <w:tc>
          <w:tcPr>
            <w:tcW w:type="dxa" w:w="6520"/>
          </w:tcPr>
          <w:p>
            <w:r>
              <w:rPr>
                <w:rFonts w:ascii="宋体" w:hAnsi="宋体" w:eastAsia="宋体"/>
                <w:b w:val="0"/>
                <w:sz w:val="19"/>
              </w:rPr>
              <w:t>篮球拟人+中山元素，三视图+动作（如确认）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待确认</w:t>
            </w:r>
          </w:p>
        </w:tc>
      </w:tr>
      <w:tr>
        <w:tc>
          <w:tcPr>
            <w:tcW w:type="dxa" w:w="1417"/>
          </w:tcPr>
          <w:p>
            <w:r>
              <w:rPr>
                <w:rFonts w:ascii="宋体" w:hAnsi="宋体" w:eastAsia="宋体"/>
                <w:b w:val="0"/>
                <w:sz w:val="19"/>
              </w:rPr>
              <w:t>两个门头</w:t>
            </w:r>
          </w:p>
        </w:tc>
        <w:tc>
          <w:tcPr>
            <w:tcW w:type="dxa" w:w="6520"/>
          </w:tcPr>
          <w:p>
            <w:r>
              <w:rPr>
                <w:rFonts w:ascii="宋体" w:hAnsi="宋体" w:eastAsia="宋体"/>
                <w:b w:val="0"/>
                <w:sz w:val="19"/>
              </w:rPr>
              <w:t>主/次入口拱门，呼应骑楼拱券，发光+灯带（详见门头结构说明）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深化中</w:t>
            </w:r>
          </w:p>
        </w:tc>
      </w:tr>
      <w:tr>
        <w:tc>
          <w:tcPr>
            <w:tcW w:type="dxa" w:w="1417"/>
          </w:tcPr>
          <w:p>
            <w:r>
              <w:rPr>
                <w:rFonts w:ascii="宋体" w:hAnsi="宋体" w:eastAsia="宋体"/>
                <w:b w:val="0"/>
                <w:sz w:val="19"/>
              </w:rPr>
              <w:t>步行街氛围</w:t>
            </w:r>
          </w:p>
        </w:tc>
        <w:tc>
          <w:tcPr>
            <w:tcW w:type="dxa" w:w="6520"/>
          </w:tcPr>
          <w:p>
            <w:r>
              <w:rPr>
                <w:rFonts w:ascii="宋体" w:hAnsi="宋体" w:eastAsia="宋体"/>
                <w:b w:val="0"/>
                <w:sz w:val="19"/>
              </w:rPr>
              <w:t>道旗/挂件/串旗/地贴/立体装置/包柱/灯光，四段递进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待开稿</w:t>
            </w:r>
          </w:p>
        </w:tc>
      </w:tr>
      <w:tr>
        <w:tc>
          <w:tcPr>
            <w:tcW w:type="dxa" w:w="1417"/>
          </w:tcPr>
          <w:p>
            <w:r>
              <w:rPr>
                <w:rFonts w:ascii="宋体" w:hAnsi="宋体" w:eastAsia="宋体"/>
                <w:b w:val="0"/>
                <w:sz w:val="19"/>
              </w:rPr>
              <w:t>摊位</w:t>
            </w:r>
          </w:p>
        </w:tc>
        <w:tc>
          <w:tcPr>
            <w:tcW w:type="dxa" w:w="6520"/>
          </w:tcPr>
          <w:p>
            <w:r>
              <w:rPr>
                <w:rFonts w:ascii="宋体" w:hAnsi="宋体" w:eastAsia="宋体"/>
                <w:b w:val="0"/>
                <w:sz w:val="19"/>
              </w:rPr>
              <w:t>20个3×3白帐篷统一檐布/桌椅/牌/编号/分区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待开稿</w:t>
            </w:r>
          </w:p>
        </w:tc>
      </w:tr>
      <w:tr>
        <w:tc>
          <w:tcPr>
            <w:tcW w:type="dxa" w:w="1417"/>
          </w:tcPr>
          <w:p>
            <w:r>
              <w:rPr>
                <w:rFonts w:ascii="宋体" w:hAnsi="宋体" w:eastAsia="宋体"/>
                <w:b w:val="0"/>
                <w:sz w:val="19"/>
              </w:rPr>
              <w:t>文创</w:t>
            </w:r>
          </w:p>
        </w:tc>
        <w:tc>
          <w:tcPr>
            <w:tcW w:type="dxa" w:w="6520"/>
          </w:tcPr>
          <w:p>
            <w:r>
              <w:rPr>
                <w:rFonts w:ascii="宋体" w:hAnsi="宋体" w:eastAsia="宋体"/>
                <w:b w:val="0"/>
                <w:sz w:val="19"/>
              </w:rPr>
              <w:t>成套：工BA冠军戒指★/球衣印号★/球鞋挂件★/徽章/帆布袋等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深化中</w:t>
            </w:r>
          </w:p>
        </w:tc>
      </w:tr>
      <w:tr>
        <w:tc>
          <w:tcPr>
            <w:tcW w:type="dxa" w:w="1417"/>
          </w:tcPr>
          <w:p>
            <w:r>
              <w:rPr>
                <w:rFonts w:ascii="宋体" w:hAnsi="宋体" w:eastAsia="宋体"/>
                <w:b w:val="0"/>
                <w:sz w:val="19"/>
              </w:rPr>
              <w:t>打卡点</w:t>
            </w:r>
          </w:p>
        </w:tc>
        <w:tc>
          <w:tcPr>
            <w:tcW w:type="dxa" w:w="6520"/>
          </w:tcPr>
          <w:p>
            <w:r>
              <w:rPr>
                <w:rFonts w:ascii="宋体" w:hAnsi="宋体" w:eastAsia="宋体"/>
                <w:b w:val="0"/>
                <w:sz w:val="19"/>
              </w:rPr>
              <w:t>合影墙/巨型篮球/灯箱字/集章框 + 巨型工BA戒指打卡（增补）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待开稿</w:t>
            </w:r>
          </w:p>
        </w:tc>
      </w:tr>
      <w:tr>
        <w:tc>
          <w:tcPr>
            <w:tcW w:type="dxa" w:w="1417"/>
          </w:tcPr>
          <w:p>
            <w:r>
              <w:rPr>
                <w:rFonts w:ascii="宋体" w:hAnsi="宋体" w:eastAsia="宋体"/>
                <w:b w:val="0"/>
                <w:sz w:val="19"/>
              </w:rPr>
              <w:t>体育馆</w:t>
            </w:r>
          </w:p>
        </w:tc>
        <w:tc>
          <w:tcPr>
            <w:tcW w:type="dxa" w:w="6520"/>
          </w:tcPr>
          <w:p>
            <w:r>
              <w:rPr>
                <w:rFonts w:ascii="宋体" w:hAnsi="宋体" w:eastAsia="宋体"/>
                <w:b w:val="0"/>
                <w:sz w:val="19"/>
              </w:rPr>
              <w:t>形象墙/吊旗/围挡/背景板 + 3–4处打卡点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待现场</w:t>
            </w:r>
          </w:p>
        </w:tc>
      </w:tr>
      <w:tr>
        <w:tc>
          <w:tcPr>
            <w:tcW w:type="dxa" w:w="1417"/>
          </w:tcPr>
          <w:p>
            <w:r>
              <w:rPr>
                <w:rFonts w:ascii="宋体" w:hAnsi="宋体" w:eastAsia="宋体"/>
                <w:b w:val="0"/>
                <w:sz w:val="19"/>
              </w:rPr>
              <w:t>点位排布</w:t>
            </w:r>
          </w:p>
        </w:tc>
        <w:tc>
          <w:tcPr>
            <w:tcW w:type="dxa" w:w="6520"/>
          </w:tcPr>
          <w:p>
            <w:r>
              <w:rPr>
                <w:rFonts w:ascii="宋体" w:hAnsi="宋体" w:eastAsia="宋体"/>
                <w:b w:val="0"/>
                <w:sz w:val="19"/>
              </w:rPr>
              <w:t>步行街分段点位→出CAD平面（见点位排布示意）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已出文字版</w:t>
            </w:r>
          </w:p>
        </w:tc>
      </w:tr>
    </w:tbl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四、本组文件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主文档：</w:t>
      </w:r>
      <w:r>
        <w:rPr>
          <w:rFonts w:ascii="宋体" w:hAnsi="宋体" w:eastAsia="宋体"/>
          <w:b w:val="0"/>
          <w:sz w:val="21"/>
        </w:rPr>
        <w:t>整体设计执行方案.docx ／ 设计提案.pptx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开稿依据：</w:t>
      </w:r>
      <w:r>
        <w:rPr>
          <w:rFonts w:ascii="宋体" w:hAnsi="宋体" w:eastAsia="宋体"/>
          <w:b w:val="0"/>
          <w:sz w:val="21"/>
        </w:rPr>
        <w:t>主KV与吉祥物设计Brief.docx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深化件：</w:t>
      </w:r>
      <w:r>
        <w:rPr>
          <w:rFonts w:ascii="宋体" w:hAnsi="宋体" w:eastAsia="宋体"/>
          <w:b w:val="0"/>
          <w:sz w:val="21"/>
        </w:rPr>
        <w:t>门头结构施工说明.docx ／ 物料点位排布示意.docx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看板：</w:t>
      </w:r>
      <w:r>
        <w:rPr>
          <w:rFonts w:ascii="宋体" w:hAnsi="宋体" w:eastAsia="宋体"/>
          <w:b w:val="0"/>
          <w:sz w:val="21"/>
        </w:rPr>
        <w:t>筛选责任组 = 设计，跟踪本组任务。</w:t>
      </w:r>
    </w:p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五、需甲方提供 / 待确认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〔待提供〕</w:t>
      </w:r>
      <w:r>
        <w:rPr>
          <w:rFonts w:ascii="宋体" w:hAnsi="宋体" w:eastAsia="宋体"/>
          <w:b w:val="0"/>
          <w:sz w:val="21"/>
        </w:rPr>
        <w:t>工BA官方VI（logo/色值/字体/吉祥物授权）。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〔待提供〕</w:t>
      </w:r>
      <w:r>
        <w:rPr>
          <w:rFonts w:ascii="宋体" w:hAnsi="宋体" w:eastAsia="宋体"/>
          <w:b w:val="0"/>
          <w:sz w:val="21"/>
        </w:rPr>
        <w:t>孙文西步行街实测、体育馆平面与电源。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〔待提供〕</w:t>
      </w:r>
      <w:r>
        <w:rPr>
          <w:rFonts w:ascii="宋体" w:hAnsi="宋体" w:eastAsia="宋体"/>
          <w:b w:val="0"/>
          <w:sz w:val="21"/>
        </w:rPr>
        <w:t>文创款式数量、是否做吉祥物。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〔待提供〕</w:t>
      </w:r>
      <w:r>
        <w:rPr>
          <w:rFonts w:ascii="宋体" w:hAnsi="宋体" w:eastAsia="宋体"/>
          <w:b w:val="0"/>
          <w:sz w:val="21"/>
        </w:rPr>
        <w:t>主标语终版（用于主KV）。</w:t>
      </w:r>
    </w:p>
    <w:sectPr w:rsidR="00FC693F" w:rsidRPr="0006063C" w:rsidSect="00034616">
      <w:pgSz w:w="12240" w:h="15840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12" w:lineRule="auto" w:after="40"/>
    </w:pPr>
    <w:rPr>
      <w:rFonts w:ascii="宋体" w:hAnsi="宋体" w:eastAsia="宋体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