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6"/>
        </w:rPr>
        <w:t>步行街 物料点位 &amp; 排布示意（文字版执行稿）</w:t>
      </w: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606060"/>
          <w:sz w:val="18"/>
        </w:rPr>
        <w:t>说明：本表为点位排布的文字示意，供深化 CAD 平面图依据。分段、数量为建议/估值，待现场实测街长、灯杆数、可用点位后定〔待现场确认〕。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一、整体分段示意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沿步行街主轴，由主入口至次入口划分为 5 段（实际以现场为准）：</w:t>
      </w:r>
    </w:p>
    <w:p>
      <w:pPr>
        <w:spacing w:after="120"/>
      </w:pPr>
      <w:r>
        <w:rPr>
          <w:rFonts w:ascii="Courier New" w:hAnsi="Courier New" w:eastAsia="Courier New"/>
          <w:b w:val="0"/>
          <w:color w:val="333333"/>
          <w:sz w:val="18"/>
        </w:rPr>
        <w:t>［①主入口·门头A］═══［②前导段］═══［③中段核心节点·大庙下快闪］═══［④文艺节点段·香山剧场方向］═══［⑤次入口·门头B］</w:t>
        <w:br/>
        <w:t xml:space="preserve">  ↑主KV合影墙        道旗/拱券灯/地贴      巨型篮球+集章主点+休息区        快闪/机器人氛围触点         收尾打卡+兑换点</w:t>
        <w:br/>
        <w:t xml:space="preserve">  〔两侧均布 20 个白色帐篷摊位，沿街分区布置，段段之间预留消防通道〕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二、分段物料点位表</w:t>
      </w:r>
    </w:p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① 主入口区（门头 A）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数量（估）</w:t>
            </w:r>
          </w:p>
        </w:tc>
        <w:tc>
          <w:tcPr>
            <w:tcW w:type="dxa" w:w="56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门头 A 主入口拱门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座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仪式感入口，套用主 KV，夜间亮化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主 KV 合影墙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大型异形背景墙 + 立体 logo，主打卡点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集章打卡领卡点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入口处发放集章卡，引导全街动线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欢迎区氛围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拱券灯、绿植、地贴导视、欢迎语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② 前导段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数量（估）</w:t>
            </w:r>
          </w:p>
        </w:tc>
        <w:tc>
          <w:tcPr>
            <w:tcW w:type="dxa" w:w="56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道旗 / 吊旗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每侧每 8–10m 一面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双面喷绘，主题系列画面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灯杆篮球挂件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同灯杆数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篮球造型异形件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过街串旗 / 横幅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按点位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上空串旗 + 主题标语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地贴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关键节点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半场线/导视/打卡脚印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摊位（起始段）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若干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见第四节摊位排布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③ 中段核心节点（含大庙下快闪区）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数量（估）</w:t>
            </w:r>
          </w:p>
        </w:tc>
        <w:tc>
          <w:tcPr>
            <w:tcW w:type="dxa" w:w="56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 / 扣篮立体装置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1–2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网红打卡大装置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集章打卡主点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核心盖章点 + 互动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“我在中山看工BA”灯箱字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发光立体字，夜间出片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主题休息区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1–2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座椅 + 绿植 + 遮阳，停留消费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快闪表演氛围触点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配合大庙下快闪的背景/地贴/氛围（表演由相应方负责）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④ 文艺节点段（香山剧场方向）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数量（估）</w:t>
            </w:r>
          </w:p>
        </w:tc>
        <w:tc>
          <w:tcPr>
            <w:tcW w:type="dxa" w:w="56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骑楼主题打卡框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孙文西骑楼 + 篮球合影框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机器人节目氛围触点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剧场外机器人节目区的氛围衔接（节目本身非我方）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道旗 / 包柱延续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沿段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与前段统一，串联氛围</w:t>
            </w:r>
          </w:p>
        </w:tc>
      </w:tr>
    </w:tbl>
    <w:p>
      <w:pPr>
        <w:keepNext/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⑤ 次入口区（门头 B）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数量（估）</w:t>
            </w:r>
          </w:p>
        </w:tc>
        <w:tc>
          <w:tcPr>
            <w:tcW w:type="dxa" w:w="56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门头 B 次入口拱门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座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与门头 A 成系列略小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收尾打卡 + 集章兑换点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集满兑换文创，形成动线闭环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导视 / 收尾氛围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1 组</w:t>
            </w:r>
          </w:p>
        </w:tc>
        <w:tc>
          <w:tcPr>
            <w:tcW w:type="dxa" w:w="5669"/>
          </w:tcPr>
          <w:p>
            <w:r>
              <w:rPr>
                <w:rFonts w:ascii="宋体" w:hAnsi="宋体" w:eastAsia="宋体"/>
                <w:b w:val="0"/>
                <w:sz w:val="19"/>
              </w:rPr>
              <w:t>引导离场 / 指引体育馆等其他区域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三、动线说明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领导炸街动线：</w:t>
      </w:r>
      <w:r>
        <w:rPr>
          <w:rFonts w:ascii="宋体" w:hAnsi="宋体" w:eastAsia="宋体"/>
          <w:b w:val="0"/>
          <w:sz w:val="21"/>
        </w:rPr>
        <w:t>主入口（门头A）→ 沿街巡看 → 中段大庙下快闪 → 文艺节点（香山剧场方向）→ 次入口（门头B）→〔如落地〕滨水无人机观看点；沿线需展示机器人元素。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游客动线：</w:t>
      </w:r>
      <w:r>
        <w:rPr>
          <w:rFonts w:ascii="宋体" w:hAnsi="宋体" w:eastAsia="宋体"/>
          <w:b w:val="0"/>
          <w:sz w:val="21"/>
        </w:rPr>
        <w:t>主/次入口双向进入，自由游逛 + 集章打卡线引导走完全街，带动各摊位消费。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集章打卡线：</w:t>
      </w:r>
      <w:r>
        <w:rPr>
          <w:rFonts w:ascii="宋体" w:hAnsi="宋体" w:eastAsia="宋体"/>
          <w:b w:val="0"/>
          <w:sz w:val="21"/>
        </w:rPr>
        <w:t>主入口领卡 → 各摊位/打卡点盖章 → 次入口兑换文创，形成闭环、提升停留与传播。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四、摊位排布（20 个）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沿步行街两侧均布，分 4 个业态区，统一编号与导视；段段之间及摊位之间预留消防通道与人流净宽。建议分区如下：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业态区</w:t>
            </w:r>
          </w:p>
        </w:tc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建议数量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编号示例</w:t>
            </w:r>
          </w:p>
        </w:tc>
        <w:tc>
          <w:tcPr>
            <w:tcW w:type="dxa" w:w="45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分布位置建议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餐饮 / 小吃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6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01–06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靠近休息区与核心节点，便于停留消费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文创 / 潮玩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5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07–11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近主 KV 合影墙与集章主点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非遗 / 手作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5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12–16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文艺节点段，呼应非遗文旅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品牌 / 体验</w:t>
            </w:r>
          </w:p>
        </w:tc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4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17–20</w:t>
            </w:r>
          </w:p>
        </w:tc>
        <w:tc>
          <w:tcPr>
            <w:tcW w:type="dxa" w:w="4535"/>
          </w:tcPr>
          <w:p>
            <w:r>
              <w:rPr>
                <w:rFonts w:ascii="宋体" w:hAnsi="宋体" w:eastAsia="宋体"/>
                <w:b w:val="0"/>
                <w:sz w:val="19"/>
              </w:rPr>
              <w:t>入口与高人流段，利于品宣露出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color w:val="606060"/>
          <w:sz w:val="18"/>
        </w:rPr>
        <w:t>注：20 为暂定，最终数量与业态由定向邀约商家结果确定〔待确认〕。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五、点位数量汇总（估）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83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 / 装置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合计数量（估）</w:t>
            </w:r>
          </w:p>
        </w:tc>
        <w:tc>
          <w:tcPr>
            <w:tcW w:type="dxa" w:w="5102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备注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门头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2 座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主/次入口各 1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主 KV 合影墙 / 大型打卡装置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3–5 处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含合影墙、巨型篮球、灯箱字、骑楼框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集章点（领卡/主点/兑换）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3 处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形成动线闭环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道旗 / 吊旗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按街长估算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每侧每 8–10m 一面，待实测灯杆数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灯杆挂件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同灯杆数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—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地贴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关键节点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半场线/导视/脚印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立体造型装置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3–5 处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巨型篮球/扣篮/拱券小品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主题休息区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2–3 处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座椅+绿植+遮阳</w:t>
            </w:r>
          </w:p>
        </w:tc>
      </w:tr>
      <w:tr>
        <w:tc>
          <w:tcPr>
            <w:tcW w:type="dxa" w:w="2835"/>
          </w:tcPr>
          <w:p>
            <w:r>
              <w:rPr>
                <w:rFonts w:ascii="宋体" w:hAnsi="宋体" w:eastAsia="宋体"/>
                <w:b w:val="0"/>
                <w:sz w:val="19"/>
              </w:rPr>
              <w:t>白色帐篷摊位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20 个</w:t>
            </w:r>
          </w:p>
        </w:tc>
        <w:tc>
          <w:tcPr>
            <w:tcW w:type="dxa" w:w="5102"/>
          </w:tcPr>
          <w:p>
            <w:r>
              <w:rPr>
                <w:rFonts w:ascii="宋体" w:hAnsi="宋体" w:eastAsia="宋体"/>
                <w:b w:val="0"/>
                <w:sz w:val="19"/>
              </w:rPr>
              <w:t>两侧分区均布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六、待现场确认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孙文西步行街实测总长、可用宽度、灯杆数量与间距、可布置点位。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电源点位与容量（决定灯光/装置用电）。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消防通道、占道范围与街道/城管/市场方报批要求。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大庙下、香山剧场等节点与步行街的衔接位置与责任边界。</w:t>
      </w:r>
    </w:p>
    <w:p>
      <w:pPr>
        <w:spacing w:before="0" w:after="40"/>
      </w:pP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808080"/>
          <w:sz w:val="18"/>
        </w:rPr>
        <w:t>本文字版点位排布用于指导深化平面图（CAD/效果图）；最终点位与数量以现场实测与甲方确认为准。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