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6"/>
        </w:rPr>
        <w:t>两个门头 — 结构施工说明（执行稿）</w:t>
      </w: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606060"/>
          <w:sz w:val="18"/>
        </w:rPr>
        <w:t>说明：尺寸/结构/配重为专业建议值，最终以现场踏勘与结构计算为准〔待现场确认〕。涉及具体单位/品牌已角色化。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一、概述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数量与位置：</w:t>
      </w:r>
      <w:r>
        <w:rPr>
          <w:rFonts w:ascii="宋体" w:hAnsi="宋体" w:eastAsia="宋体"/>
          <w:b w:val="0"/>
          <w:sz w:val="21"/>
        </w:rPr>
        <w:t>门头 A（主入口，步行街主入口端）、门头 B（次入口，步行街另一端），共 2 座。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造型主题：</w:t>
      </w:r>
      <w:r>
        <w:rPr>
          <w:rFonts w:ascii="宋体" w:hAnsi="宋体" w:eastAsia="宋体"/>
          <w:b w:val="0"/>
          <w:sz w:val="21"/>
        </w:rPr>
        <w:t>拱门造型呼应孙文西骑楼连续拱券，主画面套用活动主 KV，融入篮球/飞龙元素，夜间亮化。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功能：</w:t>
      </w:r>
      <w:r>
        <w:rPr>
          <w:rFonts w:ascii="宋体" w:hAnsi="宋体" w:eastAsia="宋体"/>
          <w:b w:val="0"/>
          <w:sz w:val="21"/>
        </w:rPr>
        <w:t>入口仪式感 + 打卡点 + 赞助/主办信息露出位。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二、门头 A（主入口）规格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82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建议规格 / 做法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整体尺寸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宽约 10m × 高约 5.5m × 厚约 0.8–1.0m〔待现场确认〕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通行净空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拱下通行净宽 ≥ 4m、净高 ≥ 3m（满足人流与消防通行）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主体结构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镀锌钢方通桁架（建议 400×400mm 方桁架，或 Φ50 镀锌管焊接桁架）；主承重立柱 4 根，横梁连接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基础 / 配重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每立柱底配重 ≥ 0.5–1 吨（水泥配重块/注水水马/沙袋）；如场地允许打孔则加地脚膨胀螺栓；抗风按 ≥ 8 级设计〔以结构计算为准〕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面层画面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户外写真喷绘 + UV 软膜灯箱（主 KV 画面）；耐候、防晒、防水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立体造型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亚克力/雪弗（PVC）发光字 + 玻璃钢/泡雕立体篮球及飞龙造型件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灯光亮化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LED 模组内打光 + 轮廓灯带 + 地面洗墙灯；色温呼应工BA蓝/暖金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电气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独立配电箱 + 漏电保护；防水接头；线缆穿管或盖线槽防绊；总功率估算待出灯具清单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安全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抗风配重到位、夜间警示、专人巡检；连续 24h 户外稳定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三、门头 B（次入口）规格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82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建议规格 / 做法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整体尺寸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宽约 6–8m × 高约 4–5m × 厚约 0.8m〔待现场确认〕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结构 / 配重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同门头 A 体系，按比例缩小；配重与抗风标准不降低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面层 / 灯光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造型、材质、画面、亮化与门头 A 统一成系列，保证视觉一致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9"/>
              </w:rPr>
              <w:t>通行净空</w:t>
            </w:r>
          </w:p>
        </w:tc>
        <w:tc>
          <w:tcPr>
            <w:tcW w:type="dxa" w:w="7824"/>
          </w:tcPr>
          <w:p>
            <w:r>
              <w:rPr>
                <w:rFonts w:ascii="宋体" w:hAnsi="宋体" w:eastAsia="宋体"/>
                <w:b w:val="0"/>
                <w:sz w:val="19"/>
              </w:rPr>
              <w:t>拱下净宽 ≥ 3.5m、净高 ≥ 3m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四、材料与工艺清单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47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类别</w:t>
            </w:r>
          </w:p>
        </w:tc>
        <w:tc>
          <w:tcPr>
            <w:tcW w:type="dxa" w:w="4762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材料 / 工艺</w:t>
            </w:r>
          </w:p>
        </w:tc>
        <w:tc>
          <w:tcPr>
            <w:tcW w:type="dxa" w:w="3402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用途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9"/>
              </w:rPr>
              <w:t>结构</w:t>
            </w:r>
          </w:p>
        </w:tc>
        <w:tc>
          <w:tcPr>
            <w:tcW w:type="dxa" w:w="4762"/>
          </w:tcPr>
          <w:p>
            <w:r>
              <w:rPr>
                <w:rFonts w:ascii="宋体" w:hAnsi="宋体" w:eastAsia="宋体"/>
                <w:b w:val="0"/>
                <w:sz w:val="19"/>
              </w:rPr>
              <w:t>镀锌钢方通/桁架、连接件、底座配重</w:t>
            </w:r>
          </w:p>
        </w:tc>
        <w:tc>
          <w:tcPr>
            <w:tcW w:type="dxa" w:w="3402"/>
          </w:tcPr>
          <w:p>
            <w:r>
              <w:rPr>
                <w:rFonts w:ascii="宋体" w:hAnsi="宋体" w:eastAsia="宋体"/>
                <w:b w:val="0"/>
                <w:sz w:val="19"/>
              </w:rPr>
              <w:t>主体承重与稳定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9"/>
              </w:rPr>
              <w:t>面层</w:t>
            </w:r>
          </w:p>
        </w:tc>
        <w:tc>
          <w:tcPr>
            <w:tcW w:type="dxa" w:w="4762"/>
          </w:tcPr>
          <w:p>
            <w:r>
              <w:rPr>
                <w:rFonts w:ascii="宋体" w:hAnsi="宋体" w:eastAsia="宋体"/>
                <w:b w:val="0"/>
                <w:sz w:val="19"/>
              </w:rPr>
              <w:t>户外写真喷绘、UV 软膜灯箱布</w:t>
            </w:r>
          </w:p>
        </w:tc>
        <w:tc>
          <w:tcPr>
            <w:tcW w:type="dxa" w:w="3402"/>
          </w:tcPr>
          <w:p>
            <w:r>
              <w:rPr>
                <w:rFonts w:ascii="宋体" w:hAnsi="宋体" w:eastAsia="宋体"/>
                <w:b w:val="0"/>
                <w:sz w:val="19"/>
              </w:rPr>
              <w:t>主画面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9"/>
              </w:rPr>
              <w:t>立体件</w:t>
            </w:r>
          </w:p>
        </w:tc>
        <w:tc>
          <w:tcPr>
            <w:tcW w:type="dxa" w:w="4762"/>
          </w:tcPr>
          <w:p>
            <w:r>
              <w:rPr>
                <w:rFonts w:ascii="宋体" w:hAnsi="宋体" w:eastAsia="宋体"/>
                <w:b w:val="0"/>
                <w:sz w:val="19"/>
              </w:rPr>
              <w:t>亚克力/雪弗发光字、玻璃钢/泡雕造型</w:t>
            </w:r>
          </w:p>
        </w:tc>
        <w:tc>
          <w:tcPr>
            <w:tcW w:type="dxa" w:w="3402"/>
          </w:tcPr>
          <w:p>
            <w:r>
              <w:rPr>
                <w:rFonts w:ascii="宋体" w:hAnsi="宋体" w:eastAsia="宋体"/>
                <w:b w:val="0"/>
                <w:sz w:val="19"/>
              </w:rPr>
              <w:t>logo、主题字、篮球/飞龙造型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9"/>
              </w:rPr>
              <w:t>灯光</w:t>
            </w:r>
          </w:p>
        </w:tc>
        <w:tc>
          <w:tcPr>
            <w:tcW w:type="dxa" w:w="4762"/>
          </w:tcPr>
          <w:p>
            <w:r>
              <w:rPr>
                <w:rFonts w:ascii="宋体" w:hAnsi="宋体" w:eastAsia="宋体"/>
                <w:b w:val="0"/>
                <w:sz w:val="19"/>
              </w:rPr>
              <w:t>LED 模组、灯带、洗墙灯、电源/控制</w:t>
            </w:r>
          </w:p>
        </w:tc>
        <w:tc>
          <w:tcPr>
            <w:tcW w:type="dxa" w:w="3402"/>
          </w:tcPr>
          <w:p>
            <w:r>
              <w:rPr>
                <w:rFonts w:ascii="宋体" w:hAnsi="宋体" w:eastAsia="宋体"/>
                <w:b w:val="0"/>
                <w:sz w:val="19"/>
              </w:rPr>
              <w:t>亮化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9"/>
              </w:rPr>
              <w:t>电气</w:t>
            </w:r>
          </w:p>
        </w:tc>
        <w:tc>
          <w:tcPr>
            <w:tcW w:type="dxa" w:w="4762"/>
          </w:tcPr>
          <w:p>
            <w:r>
              <w:rPr>
                <w:rFonts w:ascii="宋体" w:hAnsi="宋体" w:eastAsia="宋体"/>
                <w:b w:val="0"/>
                <w:sz w:val="19"/>
              </w:rPr>
              <w:t>配电箱、漏保、防水接头、穿线管/线槽</w:t>
            </w:r>
          </w:p>
        </w:tc>
        <w:tc>
          <w:tcPr>
            <w:tcW w:type="dxa" w:w="3402"/>
          </w:tcPr>
          <w:p>
            <w:r>
              <w:rPr>
                <w:rFonts w:ascii="宋体" w:hAnsi="宋体" w:eastAsia="宋体"/>
                <w:b w:val="0"/>
                <w:sz w:val="19"/>
              </w:rPr>
              <w:t>安全供电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9"/>
              </w:rPr>
              <w:t>辅材</w:t>
            </w:r>
          </w:p>
        </w:tc>
        <w:tc>
          <w:tcPr>
            <w:tcW w:type="dxa" w:w="4762"/>
          </w:tcPr>
          <w:p>
            <w:r>
              <w:rPr>
                <w:rFonts w:ascii="宋体" w:hAnsi="宋体" w:eastAsia="宋体"/>
                <w:b w:val="0"/>
                <w:sz w:val="19"/>
              </w:rPr>
              <w:t>扎带、卡扣、安全警示、配重水马/沙袋</w:t>
            </w:r>
          </w:p>
        </w:tc>
        <w:tc>
          <w:tcPr>
            <w:tcW w:type="dxa" w:w="3402"/>
          </w:tcPr>
          <w:p>
            <w:r>
              <w:rPr>
                <w:rFonts w:ascii="宋体" w:hAnsi="宋体" w:eastAsia="宋体"/>
                <w:b w:val="0"/>
                <w:sz w:val="19"/>
              </w:rPr>
              <w:t>安装与安全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五、安装与拆卸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勘场放线：</w:t>
      </w:r>
      <w:r>
        <w:rPr>
          <w:rFonts w:ascii="宋体" w:hAnsi="宋体" w:eastAsia="宋体"/>
          <w:b w:val="0"/>
          <w:sz w:val="21"/>
        </w:rPr>
        <w:t>安装前现场复核尺寸、地面条件、限高、电源点位与审批范围。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结构搭建：</w:t>
      </w:r>
      <w:r>
        <w:rPr>
          <w:rFonts w:ascii="宋体" w:hAnsi="宋体" w:eastAsia="宋体"/>
          <w:b w:val="0"/>
          <w:sz w:val="21"/>
        </w:rPr>
        <w:t>桁架拼装 → 立柱就位 → 配重固定 → 横梁与造型件安装。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面层与灯光：</w:t>
      </w:r>
      <w:r>
        <w:rPr>
          <w:rFonts w:ascii="宋体" w:hAnsi="宋体" w:eastAsia="宋体"/>
          <w:b w:val="0"/>
          <w:sz w:val="21"/>
        </w:rPr>
        <w:t>绷画面/软膜 → 装发光字与造型件 → 布灯 → 接电调试。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验收：</w:t>
      </w:r>
      <w:r>
        <w:rPr>
          <w:rFonts w:ascii="宋体" w:hAnsi="宋体" w:eastAsia="宋体"/>
          <w:b w:val="0"/>
          <w:sz w:val="21"/>
        </w:rPr>
        <w:t>结构稳固性、配重、用电安全、画面无误、夜间亮化效果验收。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撤场：</w:t>
      </w:r>
      <w:r>
        <w:rPr>
          <w:rFonts w:ascii="宋体" w:hAnsi="宋体" w:eastAsia="宋体"/>
          <w:b w:val="0"/>
          <w:sz w:val="21"/>
        </w:rPr>
        <w:t>活动后断电 → 拆卸 → 可复用件回收（控制成本）。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六、待现场确认 / 待甲方配合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孙文西步行街主/次入口实际可用宽度、地面材质（能否打孔）、限高、净空要求。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可用电源点位与容量（决定灯光功率上限与配电方案）。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门头占道布置的街道/城管/消防报批范围与责任分工。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主办/赞助信息位最终内容（用于画面留版）。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结构方案的正式结构计算与安全确认（大型户外结构必做）。</w:t>
      </w:r>
    </w:p>
    <w:p>
      <w:pPr>
        <w:spacing w:before="0" w:after="40"/>
      </w:pP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808080"/>
          <w:sz w:val="18"/>
        </w:rPr>
        <w:t>本说明为执行稿，用于指导深化结构图与制作；最终结构与配重以结构计算和现场为准。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